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B7" w:rsidRPr="008A51B7" w:rsidRDefault="008A51B7" w:rsidP="008A5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015" w:rsidRDefault="00792015" w:rsidP="0079201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bookmarkStart w:id="0" w:name="_GoBack"/>
      <w:bookmarkEnd w:id="0"/>
    </w:p>
    <w:p w:rsidR="00792015" w:rsidRDefault="00792015" w:rsidP="008A5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51B7" w:rsidRPr="008A51B7" w:rsidRDefault="008A51B7" w:rsidP="008A5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первом полугодии </w:t>
      </w:r>
      <w:r w:rsidRPr="008A51B7">
        <w:rPr>
          <w:rFonts w:ascii="Times New Roman" w:hAnsi="Times New Roman" w:cs="Times New Roman"/>
          <w:sz w:val="24"/>
          <w:szCs w:val="24"/>
        </w:rPr>
        <w:t>2026 года в Костанайской области подтверждено 294 случая кори. Это означает, что болезнь продолжает активно распространяться и представляет реальную угрозу, особенно для маленьких детей и людей, не имеющих защиты от инфекции.</w:t>
      </w:r>
    </w:p>
    <w:p w:rsidR="008A51B7" w:rsidRPr="008A51B7" w:rsidRDefault="008A51B7" w:rsidP="008A5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1B7">
        <w:rPr>
          <w:rFonts w:ascii="Times New Roman" w:hAnsi="Times New Roman" w:cs="Times New Roman"/>
          <w:sz w:val="24"/>
          <w:szCs w:val="24"/>
        </w:rPr>
        <w:t>Наибольшее беспокойство вызывает тот факт, что почти 92% заболевших (268 человек) не были привиты против кори. Среди них: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1B7">
        <w:rPr>
          <w:rFonts w:ascii="Times New Roman" w:hAnsi="Times New Roman" w:cs="Times New Roman"/>
          <w:sz w:val="24"/>
          <w:szCs w:val="24"/>
        </w:rPr>
        <w:t>105 человек не были вакцинированы из-за отказа от прививки;</w:t>
      </w:r>
    </w:p>
    <w:p w:rsidR="008A51B7" w:rsidRPr="008A51B7" w:rsidRDefault="008A51B7" w:rsidP="008A5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1B7">
        <w:rPr>
          <w:rFonts w:ascii="Times New Roman" w:hAnsi="Times New Roman" w:cs="Times New Roman"/>
          <w:sz w:val="24"/>
          <w:szCs w:val="24"/>
        </w:rPr>
        <w:t>91 ребенок еще не достиг возраста, когда проводится вакцинация;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1B7">
        <w:rPr>
          <w:rFonts w:ascii="Times New Roman" w:hAnsi="Times New Roman" w:cs="Times New Roman"/>
          <w:sz w:val="24"/>
          <w:szCs w:val="24"/>
        </w:rPr>
        <w:t>24 человека имели медицинские противопоказания;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1B7">
        <w:rPr>
          <w:rFonts w:ascii="Times New Roman" w:hAnsi="Times New Roman" w:cs="Times New Roman"/>
          <w:sz w:val="24"/>
          <w:szCs w:val="24"/>
        </w:rPr>
        <w:t>у 48 заболевших прививочный статус установить не удалось.</w:t>
      </w:r>
    </w:p>
    <w:p w:rsidR="008A51B7" w:rsidRPr="008A51B7" w:rsidRDefault="008A51B7" w:rsidP="008A5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1B7">
        <w:rPr>
          <w:rFonts w:ascii="Times New Roman" w:hAnsi="Times New Roman" w:cs="Times New Roman"/>
          <w:sz w:val="24"/>
          <w:szCs w:val="24"/>
        </w:rPr>
        <w:t xml:space="preserve">Чаще всего корью </w:t>
      </w:r>
      <w:r>
        <w:rPr>
          <w:rFonts w:ascii="Times New Roman" w:hAnsi="Times New Roman" w:cs="Times New Roman"/>
          <w:sz w:val="24"/>
          <w:szCs w:val="24"/>
        </w:rPr>
        <w:t>бо</w:t>
      </w:r>
      <w:r w:rsidRPr="008A51B7"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8A51B7">
        <w:rPr>
          <w:rFonts w:ascii="Times New Roman" w:hAnsi="Times New Roman" w:cs="Times New Roman"/>
          <w:sz w:val="24"/>
          <w:szCs w:val="24"/>
        </w:rPr>
        <w:t xml:space="preserve"> дети до 5 лет. Заболели 92 ребенка младше одного года, которые еще не успели получить защиту с помощью вакцинации, и 99 детей в возрасте от 1 до 4 лет. Это самая уязвимая группа, которая особенно нуждается в защите окружающих.</w:t>
      </w:r>
    </w:p>
    <w:p w:rsidR="008A51B7" w:rsidRDefault="008A51B7" w:rsidP="008A5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1B7">
        <w:rPr>
          <w:rFonts w:ascii="Times New Roman" w:hAnsi="Times New Roman" w:cs="Times New Roman"/>
          <w:sz w:val="24"/>
          <w:szCs w:val="24"/>
        </w:rPr>
        <w:t xml:space="preserve">Случаи кори зарегистрированы во многих населенных пунктах области. Больше всего заболевших выявлено в </w:t>
      </w:r>
      <w:proofErr w:type="spellStart"/>
      <w:r w:rsidRPr="008A51B7">
        <w:rPr>
          <w:rFonts w:ascii="Times New Roman" w:hAnsi="Times New Roman" w:cs="Times New Roman"/>
          <w:sz w:val="24"/>
          <w:szCs w:val="24"/>
        </w:rPr>
        <w:t>Костанае</w:t>
      </w:r>
      <w:proofErr w:type="spellEnd"/>
      <w:r w:rsidRPr="008A51B7">
        <w:rPr>
          <w:rFonts w:ascii="Times New Roman" w:hAnsi="Times New Roman" w:cs="Times New Roman"/>
          <w:sz w:val="24"/>
          <w:szCs w:val="24"/>
        </w:rPr>
        <w:t xml:space="preserve"> — 166 случаев, Аркалыке — 52 случая, Костанайском районе — 22 случая, </w:t>
      </w:r>
      <w:proofErr w:type="spellStart"/>
      <w:r w:rsidRPr="008A51B7">
        <w:rPr>
          <w:rFonts w:ascii="Times New Roman" w:hAnsi="Times New Roman" w:cs="Times New Roman"/>
          <w:sz w:val="24"/>
          <w:szCs w:val="24"/>
        </w:rPr>
        <w:t>Амангельдинском</w:t>
      </w:r>
      <w:proofErr w:type="spellEnd"/>
      <w:r w:rsidRPr="008A51B7">
        <w:rPr>
          <w:rFonts w:ascii="Times New Roman" w:hAnsi="Times New Roman" w:cs="Times New Roman"/>
          <w:sz w:val="24"/>
          <w:szCs w:val="24"/>
        </w:rPr>
        <w:t xml:space="preserve"> районе — 14 случаев. Заболевания также зарегистрированы в Рудном, </w:t>
      </w:r>
      <w:proofErr w:type="spellStart"/>
      <w:r w:rsidRPr="008A51B7">
        <w:rPr>
          <w:rFonts w:ascii="Times New Roman" w:hAnsi="Times New Roman" w:cs="Times New Roman"/>
          <w:sz w:val="24"/>
          <w:szCs w:val="24"/>
        </w:rPr>
        <w:t>Лисаковске</w:t>
      </w:r>
      <w:proofErr w:type="spellEnd"/>
      <w:r w:rsidRPr="008A51B7">
        <w:rPr>
          <w:rFonts w:ascii="Times New Roman" w:hAnsi="Times New Roman" w:cs="Times New Roman"/>
          <w:sz w:val="24"/>
          <w:szCs w:val="24"/>
        </w:rPr>
        <w:t xml:space="preserve">, Житикаринском, Аулиекольском, </w:t>
      </w:r>
      <w:proofErr w:type="spellStart"/>
      <w:r w:rsidRPr="008A51B7">
        <w:rPr>
          <w:rFonts w:ascii="Times New Roman" w:hAnsi="Times New Roman" w:cs="Times New Roman"/>
          <w:sz w:val="24"/>
          <w:szCs w:val="24"/>
        </w:rPr>
        <w:t>Камыстинском</w:t>
      </w:r>
      <w:proofErr w:type="spellEnd"/>
      <w:r w:rsidRPr="008A5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B7">
        <w:rPr>
          <w:rFonts w:ascii="Times New Roman" w:hAnsi="Times New Roman" w:cs="Times New Roman"/>
          <w:sz w:val="24"/>
          <w:szCs w:val="24"/>
        </w:rPr>
        <w:t>Узункольском</w:t>
      </w:r>
      <w:proofErr w:type="spellEnd"/>
      <w:r w:rsidRPr="008A5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51B7">
        <w:rPr>
          <w:rFonts w:ascii="Times New Roman" w:hAnsi="Times New Roman" w:cs="Times New Roman"/>
          <w:sz w:val="24"/>
          <w:szCs w:val="24"/>
        </w:rPr>
        <w:t>Наурзумском</w:t>
      </w:r>
      <w:proofErr w:type="spellEnd"/>
      <w:r w:rsidRPr="008A51B7">
        <w:rPr>
          <w:rFonts w:ascii="Times New Roman" w:hAnsi="Times New Roman" w:cs="Times New Roman"/>
          <w:sz w:val="24"/>
          <w:szCs w:val="24"/>
        </w:rPr>
        <w:t xml:space="preserve">, Федоровском и </w:t>
      </w:r>
      <w:proofErr w:type="spellStart"/>
      <w:r w:rsidRPr="008A51B7">
        <w:rPr>
          <w:rFonts w:ascii="Times New Roman" w:hAnsi="Times New Roman" w:cs="Times New Roman"/>
          <w:sz w:val="24"/>
          <w:szCs w:val="24"/>
        </w:rPr>
        <w:t>Карасуском</w:t>
      </w:r>
      <w:proofErr w:type="spellEnd"/>
      <w:r w:rsidRPr="008A51B7">
        <w:rPr>
          <w:rFonts w:ascii="Times New Roman" w:hAnsi="Times New Roman" w:cs="Times New Roman"/>
          <w:sz w:val="24"/>
          <w:szCs w:val="24"/>
        </w:rPr>
        <w:t xml:space="preserve"> районах. </w:t>
      </w:r>
    </w:p>
    <w:p w:rsidR="008A51B7" w:rsidRPr="008A51B7" w:rsidRDefault="008A51B7" w:rsidP="008A5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особо отметить, что в</w:t>
      </w:r>
      <w:r w:rsidRPr="008A51B7">
        <w:rPr>
          <w:rFonts w:ascii="Times New Roman" w:hAnsi="Times New Roman" w:cs="Times New Roman"/>
          <w:sz w:val="24"/>
          <w:szCs w:val="24"/>
        </w:rPr>
        <w:t>акцинация существенно снижает риск заболевания и помогает предотвратить тяжелое течение болезни и развитие осложнений.</w:t>
      </w:r>
    </w:p>
    <w:p w:rsidR="008A51B7" w:rsidRPr="008A51B7" w:rsidRDefault="008A51B7" w:rsidP="008A51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51B7">
        <w:rPr>
          <w:rFonts w:ascii="Times New Roman" w:hAnsi="Times New Roman" w:cs="Times New Roman"/>
          <w:sz w:val="24"/>
          <w:szCs w:val="24"/>
        </w:rPr>
        <w:t>Отказ от вакцинации значительно повышает риск заболевания и его тяжелых последствий. Корь может привести к серьезным осложнениям, среди которых:</w:t>
      </w:r>
    </w:p>
    <w:p w:rsidR="008A51B7" w:rsidRPr="008A51B7" w:rsidRDefault="008A51B7" w:rsidP="008A51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1B7">
        <w:rPr>
          <w:rFonts w:ascii="Times New Roman" w:hAnsi="Times New Roman" w:cs="Times New Roman"/>
          <w:sz w:val="24"/>
          <w:szCs w:val="24"/>
        </w:rPr>
        <w:t>тяжелая</w:t>
      </w:r>
      <w:proofErr w:type="gramEnd"/>
      <w:r w:rsidRPr="008A51B7">
        <w:rPr>
          <w:rFonts w:ascii="Times New Roman" w:hAnsi="Times New Roman" w:cs="Times New Roman"/>
          <w:sz w:val="24"/>
          <w:szCs w:val="24"/>
        </w:rPr>
        <w:t xml:space="preserve"> пневмония — одна из основных причин смерти при кори;</w:t>
      </w:r>
    </w:p>
    <w:p w:rsidR="008A51B7" w:rsidRPr="008A51B7" w:rsidRDefault="008A51B7" w:rsidP="008A51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1B7">
        <w:rPr>
          <w:rFonts w:ascii="Times New Roman" w:hAnsi="Times New Roman" w:cs="Times New Roman"/>
          <w:sz w:val="24"/>
          <w:szCs w:val="24"/>
        </w:rPr>
        <w:t>воспаление</w:t>
      </w:r>
      <w:proofErr w:type="gramEnd"/>
      <w:r w:rsidRPr="008A51B7">
        <w:rPr>
          <w:rFonts w:ascii="Times New Roman" w:hAnsi="Times New Roman" w:cs="Times New Roman"/>
          <w:sz w:val="24"/>
          <w:szCs w:val="24"/>
        </w:rPr>
        <w:t xml:space="preserve"> головного мозга (энцефалит), которое может вызвать необратимое поражение нервной системы, судороги и инвалидность;</w:t>
      </w:r>
    </w:p>
    <w:p w:rsidR="008A51B7" w:rsidRPr="008A51B7" w:rsidRDefault="008A51B7" w:rsidP="008A51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1B7">
        <w:rPr>
          <w:rFonts w:ascii="Times New Roman" w:hAnsi="Times New Roman" w:cs="Times New Roman"/>
          <w:sz w:val="24"/>
          <w:szCs w:val="24"/>
        </w:rPr>
        <w:t>потеря</w:t>
      </w:r>
      <w:proofErr w:type="gramEnd"/>
      <w:r w:rsidRPr="008A51B7">
        <w:rPr>
          <w:rFonts w:ascii="Times New Roman" w:hAnsi="Times New Roman" w:cs="Times New Roman"/>
          <w:sz w:val="24"/>
          <w:szCs w:val="24"/>
        </w:rPr>
        <w:t xml:space="preserve"> слуха вследствие тяжелых отитов;</w:t>
      </w:r>
    </w:p>
    <w:p w:rsidR="008A51B7" w:rsidRPr="008A51B7" w:rsidRDefault="008A51B7" w:rsidP="008A51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1B7">
        <w:rPr>
          <w:rFonts w:ascii="Times New Roman" w:hAnsi="Times New Roman" w:cs="Times New Roman"/>
          <w:sz w:val="24"/>
          <w:szCs w:val="24"/>
        </w:rPr>
        <w:t>поражение</w:t>
      </w:r>
      <w:proofErr w:type="gramEnd"/>
      <w:r w:rsidRPr="008A51B7">
        <w:rPr>
          <w:rFonts w:ascii="Times New Roman" w:hAnsi="Times New Roman" w:cs="Times New Roman"/>
          <w:sz w:val="24"/>
          <w:szCs w:val="24"/>
        </w:rPr>
        <w:t xml:space="preserve"> глаз вплоть до потери зрения;</w:t>
      </w:r>
    </w:p>
    <w:p w:rsidR="008A51B7" w:rsidRDefault="008A51B7" w:rsidP="008A51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1B7">
        <w:rPr>
          <w:rFonts w:ascii="Times New Roman" w:hAnsi="Times New Roman" w:cs="Times New Roman"/>
          <w:sz w:val="24"/>
          <w:szCs w:val="24"/>
        </w:rPr>
        <w:t>редкое</w:t>
      </w:r>
      <w:proofErr w:type="gramEnd"/>
      <w:r w:rsidRPr="008A51B7">
        <w:rPr>
          <w:rFonts w:ascii="Times New Roman" w:hAnsi="Times New Roman" w:cs="Times New Roman"/>
          <w:sz w:val="24"/>
          <w:szCs w:val="24"/>
        </w:rPr>
        <w:t xml:space="preserve">, но неизлечимое заболевание центральной нервной системы — подострый </w:t>
      </w:r>
      <w:proofErr w:type="spellStart"/>
      <w:r w:rsidRPr="008A51B7">
        <w:rPr>
          <w:rFonts w:ascii="Times New Roman" w:hAnsi="Times New Roman" w:cs="Times New Roman"/>
          <w:sz w:val="24"/>
          <w:szCs w:val="24"/>
        </w:rPr>
        <w:t>склерозирующий</w:t>
      </w:r>
      <w:proofErr w:type="spellEnd"/>
      <w:r w:rsidRPr="008A51B7">
        <w:rPr>
          <w:rFonts w:ascii="Times New Roman" w:hAnsi="Times New Roman" w:cs="Times New Roman"/>
          <w:sz w:val="24"/>
          <w:szCs w:val="24"/>
        </w:rPr>
        <w:t xml:space="preserve"> панэнцефалит, которое развивается спустя несколько лет после перенесенной кори и практически всегда заканчивается летальным исходом.</w:t>
      </w:r>
    </w:p>
    <w:p w:rsidR="008A51B7" w:rsidRDefault="008A51B7" w:rsidP="008A51B7">
      <w:pPr>
        <w:jc w:val="both"/>
      </w:pPr>
    </w:p>
    <w:p w:rsidR="008A51B7" w:rsidRPr="008A51B7" w:rsidRDefault="008A51B7" w:rsidP="008A51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51B7">
        <w:rPr>
          <w:rFonts w:ascii="Times New Roman" w:hAnsi="Times New Roman" w:cs="Times New Roman"/>
        </w:rPr>
        <w:t>Согласно Национальному календарю профилактических прививок Республики Казахстан, плановая вакцинация против кори проводится дважды комбинированной вакциной против кори, краснухи и паротита (ККП):</w:t>
      </w:r>
    </w:p>
    <w:p w:rsidR="008A51B7" w:rsidRPr="008A51B7" w:rsidRDefault="008A51B7" w:rsidP="008A51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A51B7">
        <w:rPr>
          <w:rFonts w:ascii="Times New Roman" w:hAnsi="Times New Roman" w:cs="Times New Roman"/>
        </w:rPr>
        <w:t>первая</w:t>
      </w:r>
      <w:proofErr w:type="gramEnd"/>
      <w:r w:rsidRPr="008A51B7">
        <w:rPr>
          <w:rFonts w:ascii="Times New Roman" w:hAnsi="Times New Roman" w:cs="Times New Roman"/>
        </w:rPr>
        <w:t xml:space="preserve"> доза — в возрасте 12–15 месяцев (обычно в 12 месяцев);</w:t>
      </w:r>
    </w:p>
    <w:p w:rsidR="008A51B7" w:rsidRPr="008A51B7" w:rsidRDefault="008A51B7" w:rsidP="008A51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A51B7">
        <w:rPr>
          <w:rFonts w:ascii="Times New Roman" w:hAnsi="Times New Roman" w:cs="Times New Roman"/>
        </w:rPr>
        <w:t>вторая</w:t>
      </w:r>
      <w:proofErr w:type="gramEnd"/>
      <w:r w:rsidRPr="008A51B7">
        <w:rPr>
          <w:rFonts w:ascii="Times New Roman" w:hAnsi="Times New Roman" w:cs="Times New Roman"/>
        </w:rPr>
        <w:t xml:space="preserve"> доза (ревакцинация) — в возрасте 6 лет, перед поступлением в школу.</w:t>
      </w:r>
    </w:p>
    <w:sectPr w:rsidR="008A51B7" w:rsidRPr="008A51B7" w:rsidSect="003F6F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676B2"/>
    <w:multiLevelType w:val="hybridMultilevel"/>
    <w:tmpl w:val="B3E85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C1EF5"/>
    <w:multiLevelType w:val="hybridMultilevel"/>
    <w:tmpl w:val="CE9CC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067EB"/>
    <w:multiLevelType w:val="hybridMultilevel"/>
    <w:tmpl w:val="05B2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79"/>
    <w:rsid w:val="002A4C07"/>
    <w:rsid w:val="003F6F75"/>
    <w:rsid w:val="004856DE"/>
    <w:rsid w:val="00792015"/>
    <w:rsid w:val="008A51B7"/>
    <w:rsid w:val="0097017A"/>
    <w:rsid w:val="00E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64966-5096-4A62-9982-D0BCBA58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2026-06-30T06:51:00Z</dcterms:created>
  <dcterms:modified xsi:type="dcterms:W3CDTF">2026-06-30T10:46:00Z</dcterms:modified>
</cp:coreProperties>
</file>